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D7E8D9" w14:textId="20E942BD" w:rsidR="001A5EC8" w:rsidRPr="001A5EC8" w:rsidRDefault="00694EA2" w:rsidP="001A5EC8">
      <w:pPr>
        <w:keepNext/>
        <w:keepLines/>
        <w:spacing w:after="0" w:line="276" w:lineRule="auto"/>
        <w:jc w:val="center"/>
        <w:outlineLvl w:val="0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bookmarkStart w:id="0" w:name="_Hlk149044235"/>
      <w:r w:rsidRPr="00694EA2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49</w:t>
      </w:r>
      <w:r w:rsidRPr="00694EA2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AA4B5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11621</w:t>
      </w:r>
      <w:r w:rsidRPr="00694EA2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694EA2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694EA2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694EA2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694EA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13 grudnia </w:t>
      </w:r>
      <w:r w:rsidRPr="00694EA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2023 r.</w:t>
      </w:r>
      <w:bookmarkEnd w:id="0"/>
      <w:r w:rsidR="001A5EC8"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</w:p>
    <w:p w14:paraId="6E0CBEDF" w14:textId="77777777" w:rsidR="001A5EC8" w:rsidRPr="001A5EC8" w:rsidRDefault="006D0F47" w:rsidP="001A5EC8">
      <w:pPr>
        <w:spacing w:after="240" w:line="276" w:lineRule="auto"/>
        <w:jc w:val="center"/>
        <w:rPr>
          <w:rFonts w:ascii="Arial" w:eastAsia="Times New Roman" w:hAnsi="Arial" w:cs="Arial"/>
          <w:b/>
          <w:bCs/>
          <w:i/>
          <w:iCs/>
          <w:color w:val="000000" w:themeColor="text1"/>
          <w:sz w:val="24"/>
          <w:szCs w:val="24"/>
          <w:lang w:eastAsia="pl-PL"/>
        </w:rPr>
      </w:pPr>
      <w:bookmarkStart w:id="1" w:name="_Hlk118879145"/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w sprawie zaopiniowania </w:t>
      </w:r>
      <w:r w:rsidRPr="006D0F47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 xml:space="preserve">Projektu Strategii Rozwoju Ponadlokalnego „Porozumienie Gmin Pogórza Przemyskiego” </w:t>
      </w:r>
      <w:r w:rsidR="001A5EC8" w:rsidRPr="006D0F47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na lata 202</w:t>
      </w:r>
      <w:r w:rsidRPr="006D0F47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4</w:t>
      </w:r>
      <w:r w:rsidR="001A5EC8" w:rsidRPr="006D0F47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-2030</w:t>
      </w:r>
    </w:p>
    <w:bookmarkEnd w:id="1"/>
    <w:p w14:paraId="7A035C61" w14:textId="77777777" w:rsidR="001A5EC8" w:rsidRPr="001A5EC8" w:rsidRDefault="001A5EC8" w:rsidP="001A5EC8">
      <w:pPr>
        <w:spacing w:after="24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Na podstawie art. 41 ust. 1 ustawy z dnia 5 czerwca 1998 r. </w:t>
      </w:r>
      <w:r w:rsidRPr="001A5EC8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o samorządzie województwa</w:t>
      </w:r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bookmarkStart w:id="2" w:name="_Hlk100137707"/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(</w:t>
      </w:r>
      <w:proofErr w:type="spellStart"/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t.j</w:t>
      </w:r>
      <w:proofErr w:type="spellEnd"/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</w:t>
      </w:r>
      <w:bookmarkStart w:id="3" w:name="_Hlk97803401"/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Dz. U. z 2022 r. poz. </w:t>
      </w:r>
      <w:bookmarkStart w:id="4" w:name="_Hlk117140884"/>
      <w:bookmarkEnd w:id="3"/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2094</w:t>
      </w:r>
      <w:bookmarkEnd w:id="4"/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ze zm.) </w:t>
      </w:r>
      <w:bookmarkEnd w:id="2"/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związku z art. 10g ust. 5 i 6 ustawy z dnia 8 marca 1990 r. </w:t>
      </w:r>
      <w:r w:rsidRPr="001A5EC8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o samorządzie gminnym</w:t>
      </w:r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(</w:t>
      </w:r>
      <w:proofErr w:type="spellStart"/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t.j</w:t>
      </w:r>
      <w:proofErr w:type="spellEnd"/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 Dz. U. z 2023 r. poz. 40 ze zm.)</w:t>
      </w:r>
    </w:p>
    <w:p w14:paraId="6DFC00AD" w14:textId="77777777" w:rsidR="001A5EC8" w:rsidRPr="001A5EC8" w:rsidRDefault="001A5EC8" w:rsidP="001A5EC8">
      <w:pPr>
        <w:spacing w:after="0" w:line="276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1A5EC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Zarząd Województwa Podkarpackiego w Rzeszowie</w:t>
      </w:r>
    </w:p>
    <w:p w14:paraId="77B2EE65" w14:textId="77777777" w:rsidR="001A5EC8" w:rsidRPr="001A5EC8" w:rsidRDefault="001A5EC8" w:rsidP="001A5EC8">
      <w:pPr>
        <w:spacing w:after="240" w:line="276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1A5EC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uchwala, co następuje:</w:t>
      </w:r>
    </w:p>
    <w:p w14:paraId="26709B25" w14:textId="77777777" w:rsidR="001A5EC8" w:rsidRPr="001A5EC8" w:rsidRDefault="001A5EC8" w:rsidP="001A5EC8">
      <w:pPr>
        <w:keepNext/>
        <w:keepLines/>
        <w:spacing w:after="0" w:line="276" w:lineRule="auto"/>
        <w:jc w:val="center"/>
        <w:outlineLvl w:val="1"/>
        <w:rPr>
          <w:rFonts w:ascii="Arial" w:eastAsia="Times New Roman" w:hAnsi="Arial" w:cstheme="majorBidi"/>
          <w:color w:val="000000" w:themeColor="text1"/>
          <w:sz w:val="24"/>
          <w:szCs w:val="26"/>
          <w:lang w:eastAsia="pl-PL"/>
        </w:rPr>
      </w:pPr>
      <w:bookmarkStart w:id="5" w:name="_Hlk45790122"/>
      <w:r w:rsidRPr="001A5EC8">
        <w:rPr>
          <w:rFonts w:ascii="Arial" w:eastAsia="Times New Roman" w:hAnsi="Arial" w:cstheme="majorBidi"/>
          <w:color w:val="000000" w:themeColor="text1"/>
          <w:sz w:val="24"/>
          <w:szCs w:val="26"/>
          <w:lang w:eastAsia="pl-PL"/>
        </w:rPr>
        <w:t>§ 1</w:t>
      </w:r>
    </w:p>
    <w:bookmarkEnd w:id="5"/>
    <w:p w14:paraId="48FC970F" w14:textId="77777777" w:rsidR="001A5EC8" w:rsidRPr="001A5EC8" w:rsidRDefault="001A5EC8" w:rsidP="001A5EC8">
      <w:pPr>
        <w:spacing w:after="24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Wydaje się opinię do </w:t>
      </w:r>
      <w:r w:rsidR="006D0F47" w:rsidRPr="006D0F4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Projektu Strategii Rozwoju Ponadlokalnego „Porozumienie Gmin Pogórza Przemyskiego” na lata 2024-2030</w:t>
      </w:r>
      <w:r w:rsidR="006D0F47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 </w:t>
      </w:r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w zakresie sposobu uwzględnienia ustaleń i rekomendacji dotyczących kształtowania i prowadzenia polityki przestrzennej w województwie określonych w </w:t>
      </w:r>
      <w:r w:rsidRPr="001A5EC8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Strategii rozwoju województwa – Podkarpackie 2030</w:t>
      </w:r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.</w:t>
      </w:r>
    </w:p>
    <w:p w14:paraId="1D3BF245" w14:textId="77777777" w:rsidR="001A5EC8" w:rsidRPr="001A5EC8" w:rsidRDefault="001A5EC8" w:rsidP="001A5EC8">
      <w:pPr>
        <w:keepNext/>
        <w:keepLines/>
        <w:spacing w:after="0" w:line="276" w:lineRule="auto"/>
        <w:jc w:val="center"/>
        <w:outlineLvl w:val="1"/>
        <w:rPr>
          <w:rFonts w:ascii="Arial" w:eastAsia="Times New Roman" w:hAnsi="Arial" w:cstheme="majorBidi"/>
          <w:color w:val="000000" w:themeColor="text1"/>
          <w:sz w:val="24"/>
          <w:szCs w:val="26"/>
        </w:rPr>
      </w:pPr>
      <w:r w:rsidRPr="001A5EC8">
        <w:rPr>
          <w:rFonts w:ascii="Arial" w:eastAsia="Times New Roman" w:hAnsi="Arial" w:cstheme="majorBidi"/>
          <w:color w:val="000000" w:themeColor="text1"/>
          <w:sz w:val="24"/>
          <w:szCs w:val="26"/>
        </w:rPr>
        <w:t>§ 2</w:t>
      </w:r>
    </w:p>
    <w:p w14:paraId="1FC9F00C" w14:textId="77777777" w:rsidR="001A5EC8" w:rsidRPr="001A5EC8" w:rsidRDefault="001A5EC8" w:rsidP="001A5EC8">
      <w:pPr>
        <w:spacing w:after="240" w:line="276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Opinia stanowi załącznik do niniejszej Uchwały.</w:t>
      </w:r>
    </w:p>
    <w:p w14:paraId="210AD1EE" w14:textId="77777777" w:rsidR="001A5EC8" w:rsidRPr="001A5EC8" w:rsidRDefault="001A5EC8" w:rsidP="001A5EC8">
      <w:pPr>
        <w:keepNext/>
        <w:keepLines/>
        <w:spacing w:after="0" w:line="276" w:lineRule="auto"/>
        <w:jc w:val="center"/>
        <w:outlineLvl w:val="1"/>
        <w:rPr>
          <w:rFonts w:ascii="Arial" w:eastAsia="Times New Roman" w:hAnsi="Arial" w:cstheme="majorBidi"/>
          <w:color w:val="000000" w:themeColor="text1"/>
          <w:sz w:val="24"/>
          <w:szCs w:val="26"/>
        </w:rPr>
      </w:pPr>
      <w:r w:rsidRPr="001A5EC8">
        <w:rPr>
          <w:rFonts w:ascii="Arial" w:eastAsia="Times New Roman" w:hAnsi="Arial" w:cstheme="majorBidi"/>
          <w:color w:val="000000" w:themeColor="text1"/>
          <w:sz w:val="24"/>
          <w:szCs w:val="26"/>
        </w:rPr>
        <w:t>§ 3</w:t>
      </w:r>
    </w:p>
    <w:p w14:paraId="37245B92" w14:textId="77777777" w:rsidR="001A5EC8" w:rsidRPr="001A5EC8" w:rsidRDefault="001A5EC8" w:rsidP="001A5EC8">
      <w:pPr>
        <w:spacing w:after="240" w:line="276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Wykonanie uchwały powierza się Dyrektorowi Departamentu Rozwoju Regionalnego.</w:t>
      </w:r>
    </w:p>
    <w:p w14:paraId="08D9CE27" w14:textId="77777777" w:rsidR="001A5EC8" w:rsidRPr="001A5EC8" w:rsidRDefault="001A5EC8" w:rsidP="001A5EC8">
      <w:pPr>
        <w:keepNext/>
        <w:keepLines/>
        <w:spacing w:after="0" w:line="276" w:lineRule="auto"/>
        <w:jc w:val="center"/>
        <w:outlineLvl w:val="1"/>
        <w:rPr>
          <w:rFonts w:ascii="Arial" w:eastAsia="Times New Roman" w:hAnsi="Arial" w:cstheme="majorBidi"/>
          <w:color w:val="000000" w:themeColor="text1"/>
          <w:sz w:val="24"/>
          <w:szCs w:val="26"/>
          <w:lang w:eastAsia="pl-PL"/>
        </w:rPr>
      </w:pPr>
      <w:r w:rsidRPr="001A5EC8">
        <w:rPr>
          <w:rFonts w:ascii="Arial" w:eastAsia="Times New Roman" w:hAnsi="Arial" w:cstheme="majorBidi"/>
          <w:color w:val="000000" w:themeColor="text1"/>
          <w:sz w:val="24"/>
          <w:szCs w:val="26"/>
          <w:lang w:eastAsia="pl-PL"/>
        </w:rPr>
        <w:t>§ 4</w:t>
      </w:r>
    </w:p>
    <w:p w14:paraId="26C6670A" w14:textId="77777777" w:rsidR="001A5EC8" w:rsidRPr="001A5EC8" w:rsidRDefault="001A5EC8" w:rsidP="001A5EC8">
      <w:pPr>
        <w:spacing w:after="120" w:line="276" w:lineRule="auto"/>
        <w:rPr>
          <w:rFonts w:ascii="Arial" w:eastAsia="Times New Roman" w:hAnsi="Arial" w:cs="Times New Roman"/>
          <w:color w:val="000000" w:themeColor="text1"/>
          <w:sz w:val="24"/>
          <w:szCs w:val="24"/>
          <w:lang w:val="x-none" w:eastAsia="pl-PL"/>
        </w:rPr>
      </w:pPr>
      <w:r w:rsidRPr="001A5EC8">
        <w:rPr>
          <w:rFonts w:ascii="Arial" w:eastAsia="Times New Roman" w:hAnsi="Arial" w:cs="Times New Roman"/>
          <w:color w:val="000000" w:themeColor="text1"/>
          <w:sz w:val="24"/>
          <w:szCs w:val="24"/>
          <w:lang w:val="x-none" w:eastAsia="pl-PL"/>
        </w:rPr>
        <w:t>Uchwała wchodzi w życie z dniem podjęcia.</w:t>
      </w:r>
    </w:p>
    <w:p w14:paraId="604DC6D6" w14:textId="77777777" w:rsidR="001A5EC8" w:rsidRDefault="001A5EC8" w:rsidP="001A5EC8">
      <w:pPr>
        <w:spacing w:after="0" w:line="240" w:lineRule="auto"/>
        <w:jc w:val="right"/>
        <w:rPr>
          <w:rFonts w:ascii="Arial" w:eastAsia="Times New Roman" w:hAnsi="Arial" w:cs="Times New Roman"/>
          <w:sz w:val="24"/>
          <w:szCs w:val="24"/>
          <w:lang w:eastAsia="pl-PL"/>
        </w:rPr>
      </w:pPr>
    </w:p>
    <w:p w14:paraId="5D7CDCC9" w14:textId="77777777" w:rsidR="00A06A08" w:rsidRPr="000D37A2" w:rsidRDefault="00A06A08" w:rsidP="00A06A08">
      <w:pPr>
        <w:spacing w:after="0"/>
        <w:rPr>
          <w:rFonts w:ascii="Arial" w:eastAsia="Calibri" w:hAnsi="Arial" w:cs="Arial"/>
          <w:sz w:val="23"/>
          <w:szCs w:val="23"/>
        </w:rPr>
      </w:pPr>
      <w:bookmarkStart w:id="6" w:name="_Hlk114218814"/>
      <w:r w:rsidRPr="000D37A2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A2EF0A0" w14:textId="77777777" w:rsidR="00A06A08" w:rsidRPr="000D37A2" w:rsidRDefault="00A06A08" w:rsidP="00A06A08">
      <w:pPr>
        <w:spacing w:after="0"/>
        <w:rPr>
          <w:rFonts w:ascii="Arial" w:eastAsiaTheme="minorEastAsia" w:hAnsi="Arial" w:cs="Arial"/>
        </w:rPr>
      </w:pPr>
      <w:r w:rsidRPr="000D37A2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6"/>
    <w:p w14:paraId="0C10B098" w14:textId="77777777" w:rsidR="00A06A08" w:rsidRDefault="00A06A08" w:rsidP="00A06A08">
      <w:pPr>
        <w:spacing w:after="0" w:line="240" w:lineRule="auto"/>
        <w:rPr>
          <w:rFonts w:ascii="Arial" w:eastAsia="Times New Roman" w:hAnsi="Arial" w:cs="Times New Roman"/>
          <w:sz w:val="24"/>
          <w:szCs w:val="24"/>
          <w:lang w:eastAsia="pl-PL"/>
        </w:rPr>
      </w:pPr>
    </w:p>
    <w:p w14:paraId="59055FBF" w14:textId="77777777" w:rsidR="00A06A08" w:rsidRDefault="00A06A08" w:rsidP="001A5EC8">
      <w:pPr>
        <w:spacing w:after="0" w:line="240" w:lineRule="auto"/>
        <w:jc w:val="right"/>
        <w:rPr>
          <w:rFonts w:ascii="Arial" w:eastAsia="Times New Roman" w:hAnsi="Arial" w:cs="Times New Roman"/>
          <w:sz w:val="24"/>
          <w:szCs w:val="24"/>
          <w:lang w:eastAsia="pl-PL"/>
        </w:rPr>
      </w:pPr>
    </w:p>
    <w:p w14:paraId="246BBF4E" w14:textId="77777777" w:rsidR="00A06A08" w:rsidRPr="001A5EC8" w:rsidRDefault="00A06A08" w:rsidP="001A5EC8">
      <w:pPr>
        <w:spacing w:after="0" w:line="240" w:lineRule="auto"/>
        <w:jc w:val="right"/>
        <w:rPr>
          <w:rFonts w:ascii="Arial" w:eastAsia="Times New Roman" w:hAnsi="Arial" w:cs="Times New Roman"/>
          <w:sz w:val="24"/>
          <w:szCs w:val="24"/>
          <w:lang w:eastAsia="pl-PL"/>
        </w:rPr>
        <w:sectPr w:rsidR="00A06A08" w:rsidRPr="001A5EC8" w:rsidSect="00113C0F">
          <w:footerReference w:type="default" r:id="rId7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4EB3281" w14:textId="44D2267D" w:rsidR="00694EA2" w:rsidRPr="00694EA2" w:rsidRDefault="00694EA2" w:rsidP="00694EA2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7" w:name="_Hlk97711470"/>
      <w:r w:rsidRPr="00694EA2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5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49</w:t>
      </w:r>
      <w:r w:rsidRPr="00694EA2">
        <w:rPr>
          <w:rFonts w:ascii="Arial" w:eastAsia="Times New Roman" w:hAnsi="Arial" w:cs="Arial"/>
          <w:bCs/>
          <w:sz w:val="24"/>
          <w:szCs w:val="24"/>
          <w:lang w:eastAsia="pl-PL"/>
        </w:rPr>
        <w:t>/</w:t>
      </w:r>
      <w:r w:rsidR="00AA4B55">
        <w:rPr>
          <w:rFonts w:ascii="Arial" w:eastAsia="Times New Roman" w:hAnsi="Arial" w:cs="Arial"/>
          <w:bCs/>
          <w:sz w:val="24"/>
          <w:szCs w:val="24"/>
          <w:lang w:eastAsia="pl-PL"/>
        </w:rPr>
        <w:t>11621</w:t>
      </w:r>
      <w:r w:rsidRPr="00694EA2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5DFD66A3" w14:textId="77777777" w:rsidR="00694EA2" w:rsidRPr="00694EA2" w:rsidRDefault="00694EA2" w:rsidP="00694EA2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694EA2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5D576B02" w14:textId="77777777" w:rsidR="00694EA2" w:rsidRPr="00694EA2" w:rsidRDefault="00694EA2" w:rsidP="00694EA2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694EA2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7DB105DD" w14:textId="7E58B8AE" w:rsidR="00694EA2" w:rsidRPr="00694EA2" w:rsidRDefault="00694EA2" w:rsidP="00694EA2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694EA2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13 grudnia </w:t>
      </w:r>
      <w:r w:rsidRPr="00694EA2">
        <w:rPr>
          <w:rFonts w:ascii="Arial" w:eastAsia="Times New Roman" w:hAnsi="Arial" w:cs="Times New Roman"/>
          <w:sz w:val="24"/>
          <w:szCs w:val="24"/>
          <w:lang w:eastAsia="pl-PL"/>
        </w:rPr>
        <w:t xml:space="preserve">2023 </w:t>
      </w:r>
      <w:r w:rsidRPr="00694EA2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7"/>
    <w:p w14:paraId="38CB9A6C" w14:textId="77777777" w:rsidR="001A5EC8" w:rsidRPr="001A5EC8" w:rsidRDefault="001A5EC8" w:rsidP="001A5EC8">
      <w:pPr>
        <w:spacing w:after="24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A5EC8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Opinia o spójności dokumentu ze </w:t>
      </w:r>
      <w:r w:rsidRPr="001A5EC8">
        <w:rPr>
          <w:rFonts w:ascii="Arial" w:eastAsia="Times New Roman" w:hAnsi="Arial" w:cs="Arial"/>
          <w:b/>
          <w:i/>
          <w:sz w:val="24"/>
          <w:szCs w:val="24"/>
          <w:lang w:eastAsia="pl-PL"/>
        </w:rPr>
        <w:t>Strategią rozwoju województwa – Podkarpackie 2030</w:t>
      </w:r>
      <w:r w:rsidRPr="001A5EC8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w zakresie sposobu uwzględnienia w nim ustaleń i rekomendacji dotyczących kształtowania i prowadzenia polityki przestrzennej w województwie.</w:t>
      </w:r>
    </w:p>
    <w:p w14:paraId="75EFFBF8" w14:textId="77777777" w:rsidR="001A5EC8" w:rsidRPr="001A5EC8" w:rsidRDefault="001A5EC8" w:rsidP="001A5EC8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</w:pPr>
      <w:r w:rsidRPr="001A5EC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Zgodnie z art. 10g ust. 5 i 6 ustawy z dnia 8 marca 1990 r. </w:t>
      </w:r>
      <w:r w:rsidRPr="001A5EC8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</w:rPr>
        <w:t>o samorządzie gminnym</w:t>
      </w:r>
      <w:r w:rsidRPr="001A5EC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 (</w:t>
      </w:r>
      <w:proofErr w:type="spellStart"/>
      <w:r w:rsidRPr="001A5EC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t.j</w:t>
      </w:r>
      <w:proofErr w:type="spellEnd"/>
      <w:r w:rsidRPr="001A5EC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. Dz. U. z 2023 r. poz. 40 ze zm., dalej </w:t>
      </w:r>
      <w:proofErr w:type="spellStart"/>
      <w:r w:rsidRPr="001A5EC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u.s.g</w:t>
      </w:r>
      <w:proofErr w:type="spellEnd"/>
      <w:r w:rsidRPr="001A5EC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.) </w:t>
      </w:r>
      <w:bookmarkStart w:id="8" w:name="_Hlk98835338"/>
      <w:bookmarkStart w:id="9" w:name="_Hlk97803195"/>
      <w:r w:rsidRPr="001A5EC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projekt strategii rozwoju ponadlokalnego opracowuje odpowiednio wójt albo starosta wskazany w porozumieniu międzygminnym, organ wykonawczy związku międzygminnego albo stowarzyszenia oraz przedkłada go </w:t>
      </w:r>
      <w:r w:rsidR="006D0F47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Z</w:t>
      </w:r>
      <w:r w:rsidRPr="001A5EC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arządowi </w:t>
      </w:r>
      <w:r w:rsidR="006D0F47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W</w:t>
      </w:r>
      <w:r w:rsidRPr="001A5EC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ojewództwa w celu wydania opinii dotyczącej sposobu uwzględnienia ustaleń i rekomendacji w zakresie kształtowania i prowadzenia polityki przestrzennej w województwie określonych w strategii rozwoju województwa.</w:t>
      </w:r>
    </w:p>
    <w:p w14:paraId="12A25806" w14:textId="77777777" w:rsidR="001A5EC8" w:rsidRPr="001A5EC8" w:rsidRDefault="001A5EC8" w:rsidP="001A5EC8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</w:pPr>
      <w:r w:rsidRPr="001A5EC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W terminie 30 dni od dnia otrzymania projektu strategii rozwoju ponadlokalnego </w:t>
      </w:r>
      <w:r w:rsidR="006D0F47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Z</w:t>
      </w:r>
      <w:r w:rsidRPr="001A5EC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arząd </w:t>
      </w:r>
      <w:r w:rsidR="006D0F47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W</w:t>
      </w:r>
      <w:r w:rsidRPr="001A5EC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ojewództwa wydaje opinię w niniejszym zakresie. Brak wydania opinii w tym terminie oznacza przyjęcie, że przedłożona do opiniowania strategia rozwoju ponadlokalnego jest spójna ze strategią rozwoju województwa.</w:t>
      </w:r>
    </w:p>
    <w:p w14:paraId="7917ACA0" w14:textId="77777777" w:rsidR="001A5EC8" w:rsidRPr="001A5EC8" w:rsidRDefault="001A5EC8" w:rsidP="001A5EC8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</w:pPr>
      <w:bookmarkStart w:id="10" w:name="_Hlk118885537"/>
      <w:r w:rsidRPr="001A5EC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W dniu </w:t>
      </w:r>
      <w:r w:rsidR="006D0F47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2</w:t>
      </w:r>
      <w:r w:rsidRPr="001A5EC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2 </w:t>
      </w:r>
      <w:r w:rsidR="006D0F47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listopada</w:t>
      </w:r>
      <w:r w:rsidRPr="001A5EC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 2023 r. do Urzędu Marszałkowskiego Województwa Podkarpackiego wpłynął wniosek z dnia 1</w:t>
      </w:r>
      <w:r w:rsidR="006D0F47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5 listopada</w:t>
      </w:r>
      <w:r w:rsidRPr="001A5EC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 2023 r., Pana </w:t>
      </w:r>
      <w:r w:rsidR="006D0F47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Mariusza Śnieżka </w:t>
      </w:r>
      <w:r w:rsidRPr="001A5EC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– </w:t>
      </w:r>
      <w:r w:rsidR="006D0F47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Wójta Gminy Fredropol (Lider Porozumienia „Porozumienie Gmin Pogórza Przemyskiego”) </w:t>
      </w:r>
      <w:r w:rsidRPr="001A5EC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o zaopiniowanie w myśl art. 10g ust. 5 </w:t>
      </w:r>
      <w:proofErr w:type="spellStart"/>
      <w:r w:rsidRPr="001A5EC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u.s.g</w:t>
      </w:r>
      <w:proofErr w:type="spellEnd"/>
      <w:r w:rsidRPr="001A5EC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. </w:t>
      </w:r>
      <w:r w:rsidR="006D0F47" w:rsidRPr="006D0F47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</w:rPr>
        <w:t xml:space="preserve">Projektu Strategii Rozwoju Ponadlokalnego „Porozumienie Gmin Pogórza Przemyskiego” na lata </w:t>
      </w:r>
      <w:r w:rsidR="007A2254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</w:rPr>
        <w:br/>
      </w:r>
      <w:r w:rsidR="006D0F47" w:rsidRPr="006D0F47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</w:rPr>
        <w:t>2024-2030</w:t>
      </w:r>
      <w:r w:rsidR="006D0F47" w:rsidRPr="006D0F47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 </w:t>
      </w:r>
      <w:r w:rsidRPr="001A5EC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(SRP).</w:t>
      </w:r>
    </w:p>
    <w:bookmarkEnd w:id="8"/>
    <w:bookmarkEnd w:id="9"/>
    <w:bookmarkEnd w:id="10"/>
    <w:p w14:paraId="1C467D26" w14:textId="77777777" w:rsidR="001A5EC8" w:rsidRPr="001A5EC8" w:rsidRDefault="007A2254" w:rsidP="001A5EC8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</w:pPr>
      <w:r w:rsidRPr="007A2254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„Porozumienie Gmin Pogórza Przemyskiego”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 zostało zawarte przez</w:t>
      </w:r>
      <w:r w:rsidR="001A5EC8" w:rsidRPr="001A5EC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: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Gminę Bircza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br/>
        <w:t>i Gminę Fredropol</w:t>
      </w:r>
      <w:r w:rsidR="001A5EC8" w:rsidRPr="001A5EC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.</w:t>
      </w:r>
    </w:p>
    <w:p w14:paraId="573BDA91" w14:textId="77777777" w:rsidR="001A5EC8" w:rsidRPr="001A5EC8" w:rsidRDefault="001A5EC8" w:rsidP="007A225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A5EC8">
        <w:rPr>
          <w:rFonts w:ascii="Arial" w:eastAsia="Times New Roman" w:hAnsi="Arial" w:cs="Arial"/>
          <w:sz w:val="24"/>
          <w:szCs w:val="24"/>
          <w:lang w:eastAsia="pl-PL"/>
        </w:rPr>
        <w:t xml:space="preserve">Przeprowadzona analiza wykazała, że zakres przedstawionego </w:t>
      </w:r>
      <w:r w:rsidR="007A2254" w:rsidRPr="007A2254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Projektu Strategii Rozwoju Ponadlokalnego „Porozumienie Gmin Pogórza Przemyskiego” na lata </w:t>
      </w:r>
      <w:r w:rsidR="007A2254" w:rsidRPr="007A2254">
        <w:rPr>
          <w:rFonts w:ascii="Arial" w:eastAsia="Times New Roman" w:hAnsi="Arial" w:cs="Arial"/>
          <w:i/>
          <w:sz w:val="24"/>
          <w:szCs w:val="24"/>
          <w:lang w:eastAsia="pl-PL"/>
        </w:rPr>
        <w:br/>
        <w:t>2024-2030</w:t>
      </w:r>
      <w:r w:rsidRPr="001A5EC8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</w:t>
      </w:r>
      <w:r w:rsidRPr="001A5EC8">
        <w:rPr>
          <w:rFonts w:ascii="Arial" w:eastAsia="Times New Roman" w:hAnsi="Arial" w:cs="Arial"/>
          <w:sz w:val="24"/>
          <w:szCs w:val="24"/>
          <w:lang w:eastAsia="pl-PL"/>
        </w:rPr>
        <w:t xml:space="preserve">mieści się w horyzoncie czasowym przyjętym w </w:t>
      </w:r>
      <w:r w:rsidRPr="001A5EC8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Strategii rozwoju województwa – Podkarpackie 2030 </w:t>
      </w:r>
      <w:r w:rsidRPr="001A5EC8">
        <w:rPr>
          <w:rFonts w:ascii="Arial" w:eastAsia="Times New Roman" w:hAnsi="Arial" w:cs="Arial"/>
          <w:sz w:val="24"/>
          <w:szCs w:val="24"/>
          <w:lang w:eastAsia="pl-PL"/>
        </w:rPr>
        <w:t>(</w:t>
      </w:r>
      <w:r w:rsidRPr="001A5EC8">
        <w:rPr>
          <w:rFonts w:ascii="Arial" w:eastAsia="Times New Roman" w:hAnsi="Arial" w:cs="Arial"/>
          <w:i/>
          <w:sz w:val="24"/>
          <w:szCs w:val="24"/>
          <w:lang w:eastAsia="pl-PL"/>
        </w:rPr>
        <w:t>SRWP 2030</w:t>
      </w:r>
      <w:r w:rsidRPr="001A5EC8">
        <w:rPr>
          <w:rFonts w:ascii="Arial" w:eastAsia="Times New Roman" w:hAnsi="Arial" w:cs="Arial"/>
          <w:sz w:val="24"/>
          <w:szCs w:val="24"/>
          <w:lang w:eastAsia="pl-PL"/>
        </w:rPr>
        <w:t>). Wyz</w:t>
      </w:r>
      <w:r w:rsidR="0006502E">
        <w:rPr>
          <w:rFonts w:ascii="Arial" w:eastAsia="Times New Roman" w:hAnsi="Arial" w:cs="Arial"/>
          <w:sz w:val="24"/>
          <w:szCs w:val="24"/>
          <w:lang w:eastAsia="pl-PL"/>
        </w:rPr>
        <w:t xml:space="preserve">naczone w nim cele strategiczne </w:t>
      </w:r>
      <w:r w:rsidRPr="001A5EC8">
        <w:rPr>
          <w:rFonts w:ascii="Arial" w:eastAsia="Times New Roman" w:hAnsi="Arial" w:cs="Arial"/>
          <w:sz w:val="24"/>
          <w:szCs w:val="24"/>
          <w:lang w:eastAsia="pl-PL"/>
        </w:rPr>
        <w:t xml:space="preserve">wraz z wymienionymi w ich ramach kierunkami działań wpisują się </w:t>
      </w:r>
      <w:r w:rsidR="00E82E51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1A5EC8">
        <w:rPr>
          <w:rFonts w:ascii="Arial" w:eastAsia="Times New Roman" w:hAnsi="Arial" w:cs="Arial"/>
          <w:sz w:val="24"/>
          <w:szCs w:val="24"/>
          <w:lang w:eastAsia="pl-PL"/>
        </w:rPr>
        <w:t xml:space="preserve">w zapisy </w:t>
      </w:r>
      <w:r w:rsidRPr="001A5EC8">
        <w:rPr>
          <w:rFonts w:ascii="Arial" w:eastAsia="Times New Roman" w:hAnsi="Arial" w:cs="Arial"/>
          <w:i/>
          <w:sz w:val="24"/>
          <w:szCs w:val="24"/>
          <w:lang w:eastAsia="pl-PL"/>
        </w:rPr>
        <w:t>SRWP 2030</w:t>
      </w:r>
      <w:r w:rsidRPr="001A5EC8">
        <w:rPr>
          <w:rFonts w:ascii="Arial" w:eastAsia="Times New Roman" w:hAnsi="Arial" w:cs="Arial"/>
          <w:sz w:val="24"/>
          <w:szCs w:val="24"/>
          <w:lang w:eastAsia="pl-PL"/>
        </w:rPr>
        <w:t>. W szczególności można przypisać je w sposób bezpośredni lub pośredni m.in. w niżej wymienione obszary tematyczne i priorytety.</w:t>
      </w:r>
    </w:p>
    <w:p w14:paraId="2E3CDC9F" w14:textId="77777777" w:rsidR="0006502E" w:rsidRPr="0006502E" w:rsidRDefault="0006502E" w:rsidP="0006502E">
      <w:pPr>
        <w:suppressAutoHyphens/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06502E">
        <w:rPr>
          <w:rFonts w:ascii="Arial" w:eastAsia="Times New Roman" w:hAnsi="Arial" w:cs="Arial"/>
          <w:b/>
          <w:sz w:val="24"/>
          <w:szCs w:val="24"/>
          <w:lang w:eastAsia="pl-PL"/>
        </w:rPr>
        <w:t>OBSZAR TEMATYCZNY 1. GOSPODARKA I NAUKA</w:t>
      </w:r>
    </w:p>
    <w:p w14:paraId="6FE88179" w14:textId="77777777" w:rsidR="0006502E" w:rsidRPr="0006502E" w:rsidRDefault="0006502E" w:rsidP="0006502E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6502E">
        <w:rPr>
          <w:rFonts w:ascii="Arial" w:eastAsia="Times New Roman" w:hAnsi="Arial" w:cs="Arial"/>
          <w:sz w:val="24"/>
          <w:szCs w:val="24"/>
          <w:lang w:eastAsia="pl-PL"/>
        </w:rPr>
        <w:t>Priorytet 1.3. Konkurencyjność gospodarki poprzez innowacje i nowoczesne technologie</w:t>
      </w:r>
    </w:p>
    <w:p w14:paraId="45BBE443" w14:textId="77777777" w:rsidR="00052D00" w:rsidRPr="0006502E" w:rsidRDefault="00052D00" w:rsidP="00052D00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6502E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</w:t>
      </w:r>
      <w:r>
        <w:rPr>
          <w:rFonts w:ascii="Arial" w:eastAsia="Times New Roman" w:hAnsi="Arial" w:cs="Arial"/>
          <w:sz w:val="24"/>
          <w:szCs w:val="24"/>
          <w:lang w:eastAsia="pl-PL"/>
        </w:rPr>
        <w:t>kierunki działań wskazane w cel</w:t>
      </w:r>
      <w:r w:rsidR="004E6C78">
        <w:rPr>
          <w:rFonts w:ascii="Arial" w:eastAsia="Times New Roman" w:hAnsi="Arial" w:cs="Arial"/>
          <w:sz w:val="24"/>
          <w:szCs w:val="24"/>
          <w:lang w:eastAsia="pl-PL"/>
        </w:rPr>
        <w:t xml:space="preserve">ach </w:t>
      </w:r>
      <w:r>
        <w:rPr>
          <w:rFonts w:ascii="Arial" w:eastAsia="Times New Roman" w:hAnsi="Arial" w:cs="Arial"/>
          <w:sz w:val="24"/>
          <w:szCs w:val="24"/>
          <w:lang w:eastAsia="pl-PL"/>
        </w:rPr>
        <w:t>operacyjny</w:t>
      </w:r>
      <w:r w:rsidR="004E6C78">
        <w:rPr>
          <w:rFonts w:ascii="Arial" w:eastAsia="Times New Roman" w:hAnsi="Arial" w:cs="Arial"/>
          <w:sz w:val="24"/>
          <w:szCs w:val="24"/>
          <w:lang w:eastAsia="pl-PL"/>
        </w:rPr>
        <w:t>ch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nr </w:t>
      </w:r>
      <w:r w:rsidR="004E6C78">
        <w:rPr>
          <w:rFonts w:ascii="Arial" w:eastAsia="Times New Roman" w:hAnsi="Arial" w:cs="Arial"/>
          <w:sz w:val="24"/>
          <w:szCs w:val="24"/>
          <w:lang w:eastAsia="pl-PL"/>
        </w:rPr>
        <w:t>1 i 3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SRP</w:t>
      </w:r>
    </w:p>
    <w:p w14:paraId="5430A7FE" w14:textId="77777777" w:rsidR="004E6C78" w:rsidRDefault="004E6C78" w:rsidP="0006502E">
      <w:pPr>
        <w:suppressAutoHyphens/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69A9AA51" w14:textId="77777777" w:rsidR="0006502E" w:rsidRPr="0006502E" w:rsidRDefault="0006502E" w:rsidP="0006502E">
      <w:pPr>
        <w:suppressAutoHyphens/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06502E">
        <w:rPr>
          <w:rFonts w:ascii="Arial" w:eastAsia="Times New Roman" w:hAnsi="Arial" w:cs="Arial"/>
          <w:b/>
          <w:sz w:val="24"/>
          <w:szCs w:val="24"/>
          <w:lang w:eastAsia="pl-PL"/>
        </w:rPr>
        <w:t>OBSZAR TEMATYCZNY 2. KAPITAŁ LUDZKI I SPOŁECZNY</w:t>
      </w:r>
    </w:p>
    <w:p w14:paraId="2CF7C69C" w14:textId="77777777" w:rsidR="0006502E" w:rsidRPr="0006502E" w:rsidRDefault="0006502E" w:rsidP="0006502E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6502E">
        <w:rPr>
          <w:rFonts w:ascii="Arial" w:eastAsia="Times New Roman" w:hAnsi="Arial" w:cs="Arial"/>
          <w:sz w:val="24"/>
          <w:szCs w:val="24"/>
          <w:lang w:eastAsia="pl-PL"/>
        </w:rPr>
        <w:lastRenderedPageBreak/>
        <w:t>Priorytet 2.1. Edukacja</w:t>
      </w:r>
    </w:p>
    <w:p w14:paraId="388B18B4" w14:textId="77777777" w:rsidR="00052D00" w:rsidRPr="0006502E" w:rsidRDefault="00052D00" w:rsidP="00052D00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6502E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kierunki działań wskazane w celu operacyjnym nr </w:t>
      </w:r>
      <w:r w:rsidR="004E6C78">
        <w:rPr>
          <w:rFonts w:ascii="Arial" w:eastAsia="Times New Roman" w:hAnsi="Arial" w:cs="Arial"/>
          <w:sz w:val="24"/>
          <w:szCs w:val="24"/>
          <w:lang w:eastAsia="pl-PL"/>
        </w:rPr>
        <w:t>3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SRP</w:t>
      </w:r>
    </w:p>
    <w:p w14:paraId="4B3F768D" w14:textId="77777777" w:rsidR="0006502E" w:rsidRPr="0006502E" w:rsidRDefault="0006502E" w:rsidP="0006502E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6502E">
        <w:rPr>
          <w:rFonts w:ascii="Arial" w:eastAsia="Times New Roman" w:hAnsi="Arial" w:cs="Arial"/>
          <w:sz w:val="24"/>
          <w:szCs w:val="24"/>
          <w:lang w:eastAsia="pl-PL"/>
        </w:rPr>
        <w:t>Priorytet 2.2. Regionalna polityka zdrowotna</w:t>
      </w:r>
    </w:p>
    <w:p w14:paraId="5CB3CBCC" w14:textId="77777777" w:rsidR="00052D00" w:rsidRPr="0006502E" w:rsidRDefault="00052D00" w:rsidP="00052D00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6502E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kierunki działań wskazane w celu operacyjnym nr </w:t>
      </w:r>
      <w:r w:rsidR="004E6C78">
        <w:rPr>
          <w:rFonts w:ascii="Arial" w:eastAsia="Times New Roman" w:hAnsi="Arial" w:cs="Arial"/>
          <w:sz w:val="24"/>
          <w:szCs w:val="24"/>
          <w:lang w:eastAsia="pl-PL"/>
        </w:rPr>
        <w:t>3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SRP</w:t>
      </w:r>
    </w:p>
    <w:p w14:paraId="789E435F" w14:textId="77777777" w:rsidR="0006502E" w:rsidRPr="0006502E" w:rsidRDefault="0006502E" w:rsidP="0006502E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6502E">
        <w:rPr>
          <w:rFonts w:ascii="Arial" w:eastAsia="Times New Roman" w:hAnsi="Arial" w:cs="Arial"/>
          <w:sz w:val="24"/>
          <w:szCs w:val="24"/>
          <w:lang w:eastAsia="pl-PL"/>
        </w:rPr>
        <w:t>Priorytet 2.3. Kultura i dziedzictwo kulturowe</w:t>
      </w:r>
    </w:p>
    <w:p w14:paraId="6A8B93C9" w14:textId="77777777" w:rsidR="00052D00" w:rsidRPr="0006502E" w:rsidRDefault="00052D00" w:rsidP="00052D00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6502E">
        <w:rPr>
          <w:rFonts w:ascii="Arial" w:eastAsia="Times New Roman" w:hAnsi="Arial" w:cs="Arial"/>
          <w:sz w:val="24"/>
          <w:szCs w:val="24"/>
          <w:lang w:eastAsia="pl-PL"/>
        </w:rPr>
        <w:t xml:space="preserve">W </w:t>
      </w:r>
      <w:r w:rsidR="004E6C78" w:rsidRPr="0006502E">
        <w:rPr>
          <w:rFonts w:ascii="Arial" w:eastAsia="Times New Roman" w:hAnsi="Arial" w:cs="Arial"/>
          <w:sz w:val="24"/>
          <w:szCs w:val="24"/>
          <w:lang w:eastAsia="pl-PL"/>
        </w:rPr>
        <w:t xml:space="preserve">priorytet wpisują się </w:t>
      </w:r>
      <w:r w:rsidR="004E6C78">
        <w:rPr>
          <w:rFonts w:ascii="Arial" w:eastAsia="Times New Roman" w:hAnsi="Arial" w:cs="Arial"/>
          <w:sz w:val="24"/>
          <w:szCs w:val="24"/>
          <w:lang w:eastAsia="pl-PL"/>
        </w:rPr>
        <w:t>kierunki działań wskazane w celach operacyjnych nr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E6C78">
        <w:rPr>
          <w:rFonts w:ascii="Arial" w:eastAsia="Times New Roman" w:hAnsi="Arial" w:cs="Arial"/>
          <w:sz w:val="24"/>
          <w:szCs w:val="24"/>
          <w:lang w:eastAsia="pl-PL"/>
        </w:rPr>
        <w:t>1 i 3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SRP</w:t>
      </w:r>
    </w:p>
    <w:p w14:paraId="07B18507" w14:textId="77777777" w:rsidR="0006502E" w:rsidRPr="0006502E" w:rsidRDefault="0006502E" w:rsidP="0006502E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6502E">
        <w:rPr>
          <w:rFonts w:ascii="Arial" w:eastAsia="Times New Roman" w:hAnsi="Arial" w:cs="Arial"/>
          <w:sz w:val="24"/>
          <w:szCs w:val="24"/>
          <w:lang w:eastAsia="pl-PL"/>
        </w:rPr>
        <w:t>Priorytet 2.4. Rynek pracy</w:t>
      </w:r>
    </w:p>
    <w:p w14:paraId="40490C73" w14:textId="77777777" w:rsidR="00052D00" w:rsidRPr="0006502E" w:rsidRDefault="00052D00" w:rsidP="00052D00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6502E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kierunki działań wskazane w celu operacyjnym nr </w:t>
      </w:r>
      <w:r w:rsidR="004E6C78">
        <w:rPr>
          <w:rFonts w:ascii="Arial" w:eastAsia="Times New Roman" w:hAnsi="Arial" w:cs="Arial"/>
          <w:sz w:val="24"/>
          <w:szCs w:val="24"/>
          <w:lang w:eastAsia="pl-PL"/>
        </w:rPr>
        <w:t>1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SRP</w:t>
      </w:r>
    </w:p>
    <w:p w14:paraId="4D6F6660" w14:textId="77777777" w:rsidR="0006502E" w:rsidRPr="0006502E" w:rsidRDefault="0006502E" w:rsidP="0006502E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6502E">
        <w:rPr>
          <w:rFonts w:ascii="Arial" w:eastAsia="Times New Roman" w:hAnsi="Arial" w:cs="Arial"/>
          <w:sz w:val="24"/>
          <w:szCs w:val="24"/>
          <w:lang w:eastAsia="pl-PL"/>
        </w:rPr>
        <w:t>Priorytet 2.5. Społeczeństwo obywatelskie i kapitał społeczny</w:t>
      </w:r>
    </w:p>
    <w:p w14:paraId="45B75F78" w14:textId="77777777" w:rsidR="00052D00" w:rsidRPr="0006502E" w:rsidRDefault="00052D00" w:rsidP="00052D00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6502E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kierunki działań wskazane w celu operacyjnym nr </w:t>
      </w:r>
      <w:r w:rsidR="004E6C78">
        <w:rPr>
          <w:rFonts w:ascii="Arial" w:eastAsia="Times New Roman" w:hAnsi="Arial" w:cs="Arial"/>
          <w:sz w:val="24"/>
          <w:szCs w:val="24"/>
          <w:lang w:eastAsia="pl-PL"/>
        </w:rPr>
        <w:t>1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SRP</w:t>
      </w:r>
    </w:p>
    <w:p w14:paraId="26D65C55" w14:textId="77777777" w:rsidR="0006502E" w:rsidRPr="0006502E" w:rsidRDefault="0006502E" w:rsidP="0006502E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6502E">
        <w:rPr>
          <w:rFonts w:ascii="Arial" w:eastAsia="Times New Roman" w:hAnsi="Arial" w:cs="Arial"/>
          <w:sz w:val="24"/>
          <w:szCs w:val="24"/>
          <w:lang w:eastAsia="pl-PL"/>
        </w:rPr>
        <w:t>Priorytet 2.7. Aktywny styl życia i sport</w:t>
      </w:r>
    </w:p>
    <w:p w14:paraId="08A0E546" w14:textId="77777777" w:rsidR="00052D00" w:rsidRPr="0006502E" w:rsidRDefault="00052D00" w:rsidP="00052D00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6502E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kierunki działań wskazane w celu operacyjnym nr </w:t>
      </w:r>
      <w:r w:rsidR="004E6C78">
        <w:rPr>
          <w:rFonts w:ascii="Arial" w:eastAsia="Times New Roman" w:hAnsi="Arial" w:cs="Arial"/>
          <w:sz w:val="24"/>
          <w:szCs w:val="24"/>
          <w:lang w:eastAsia="pl-PL"/>
        </w:rPr>
        <w:t>1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SRP</w:t>
      </w:r>
    </w:p>
    <w:p w14:paraId="1F887158" w14:textId="77777777" w:rsidR="0006502E" w:rsidRPr="0006502E" w:rsidRDefault="0006502E" w:rsidP="0006502E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6502E">
        <w:rPr>
          <w:rFonts w:ascii="Arial" w:eastAsia="Times New Roman" w:hAnsi="Arial" w:cs="Arial"/>
          <w:b/>
          <w:sz w:val="24"/>
          <w:szCs w:val="24"/>
          <w:lang w:eastAsia="pl-PL"/>
        </w:rPr>
        <w:t>OBSZAR TEMATYCZNY 3. INFRASTRUKTURA DLA ZRÓWNOWAŻONEGO ROZWOJU I ŚRODOWISKA</w:t>
      </w:r>
    </w:p>
    <w:p w14:paraId="5070F850" w14:textId="77777777" w:rsidR="0006502E" w:rsidRPr="0006502E" w:rsidRDefault="0006502E" w:rsidP="0006502E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6502E">
        <w:rPr>
          <w:rFonts w:ascii="Arial" w:eastAsia="Times New Roman" w:hAnsi="Arial" w:cs="Arial"/>
          <w:sz w:val="24"/>
          <w:szCs w:val="24"/>
          <w:lang w:eastAsia="pl-PL"/>
        </w:rPr>
        <w:t>Priorytet 3.1.</w:t>
      </w:r>
      <w:r w:rsidRPr="0006502E"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r w:rsidRPr="0006502E">
        <w:rPr>
          <w:rFonts w:ascii="Arial" w:eastAsia="Times New Roman" w:hAnsi="Arial" w:cs="Arial"/>
          <w:sz w:val="24"/>
          <w:szCs w:val="24"/>
          <w:lang w:eastAsia="pl-PL"/>
        </w:rPr>
        <w:t>Bezpieczeństwo energetyczne i OZE</w:t>
      </w:r>
    </w:p>
    <w:p w14:paraId="18F2E982" w14:textId="77777777" w:rsidR="00052D00" w:rsidRPr="0006502E" w:rsidRDefault="00052D00" w:rsidP="00052D00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6502E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kierunki działań wskazane w celu operacyjnym nr </w:t>
      </w:r>
      <w:r w:rsidR="004E6C78">
        <w:rPr>
          <w:rFonts w:ascii="Arial" w:eastAsia="Times New Roman" w:hAnsi="Arial" w:cs="Arial"/>
          <w:sz w:val="24"/>
          <w:szCs w:val="24"/>
          <w:lang w:eastAsia="pl-PL"/>
        </w:rPr>
        <w:t>2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SRP</w:t>
      </w:r>
    </w:p>
    <w:p w14:paraId="39F4EEE7" w14:textId="77777777" w:rsidR="0006502E" w:rsidRPr="0006502E" w:rsidRDefault="0006502E" w:rsidP="0006502E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6502E">
        <w:rPr>
          <w:rFonts w:ascii="Arial" w:eastAsia="Times New Roman" w:hAnsi="Arial" w:cs="Arial"/>
          <w:sz w:val="24"/>
          <w:szCs w:val="24"/>
          <w:lang w:eastAsia="pl-PL"/>
        </w:rPr>
        <w:t>Priorytet 3.5. Rozwój infrastruktury służącej prowadzeniu działalności gospodarczej i turystyki</w:t>
      </w:r>
    </w:p>
    <w:p w14:paraId="047DE31F" w14:textId="77777777" w:rsidR="00052D00" w:rsidRPr="0006502E" w:rsidRDefault="00052D00" w:rsidP="00052D00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6502E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kierunki działań wskazane w celu operacyjnym nr </w:t>
      </w:r>
      <w:r w:rsidR="004E6C78">
        <w:rPr>
          <w:rFonts w:ascii="Arial" w:eastAsia="Times New Roman" w:hAnsi="Arial" w:cs="Arial"/>
          <w:sz w:val="24"/>
          <w:szCs w:val="24"/>
          <w:lang w:eastAsia="pl-PL"/>
        </w:rPr>
        <w:t>3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SRP</w:t>
      </w:r>
    </w:p>
    <w:p w14:paraId="6C7ECF83" w14:textId="77777777" w:rsidR="0006502E" w:rsidRPr="0006502E" w:rsidRDefault="0006502E" w:rsidP="0006502E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6502E">
        <w:rPr>
          <w:rFonts w:ascii="Arial" w:eastAsia="Times New Roman" w:hAnsi="Arial" w:cs="Arial"/>
          <w:sz w:val="24"/>
          <w:szCs w:val="24"/>
          <w:lang w:eastAsia="pl-PL"/>
        </w:rPr>
        <w:t>Priorytet 3.7. Zapobieganie i minimalizowanie skutków zagrożeń antropogenicznych</w:t>
      </w:r>
    </w:p>
    <w:p w14:paraId="57EBB7B8" w14:textId="77777777" w:rsidR="00052D00" w:rsidRPr="0006502E" w:rsidRDefault="00052D00" w:rsidP="00052D00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6502E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kierunki działań wskazane w celu operacyjnym nr </w:t>
      </w:r>
      <w:r w:rsidR="004E6C78">
        <w:rPr>
          <w:rFonts w:ascii="Arial" w:eastAsia="Times New Roman" w:hAnsi="Arial" w:cs="Arial"/>
          <w:sz w:val="24"/>
          <w:szCs w:val="24"/>
          <w:lang w:eastAsia="pl-PL"/>
        </w:rPr>
        <w:t>2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SRP</w:t>
      </w:r>
    </w:p>
    <w:p w14:paraId="08F3F3AD" w14:textId="77777777" w:rsidR="0006502E" w:rsidRPr="0006502E" w:rsidRDefault="0006502E" w:rsidP="0006502E">
      <w:pPr>
        <w:suppressAutoHyphens/>
        <w:spacing w:after="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6502E">
        <w:rPr>
          <w:rFonts w:ascii="Arial" w:eastAsia="Times New Roman" w:hAnsi="Arial" w:cs="Arial"/>
          <w:sz w:val="24"/>
          <w:szCs w:val="24"/>
          <w:lang w:eastAsia="pl-PL"/>
        </w:rPr>
        <w:t>Priorytet 3.8. Zarządzanie zasobami dziedzictwa przyrodniczego, w tym ochrona i poprawianie stanu różnorodności biologicznej i krajobrazu</w:t>
      </w:r>
    </w:p>
    <w:p w14:paraId="11D7E18F" w14:textId="77777777" w:rsidR="00052D00" w:rsidRPr="0006502E" w:rsidRDefault="00052D00" w:rsidP="00052D00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6502E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kierunki działań wskazane w celu operacyjnym nr </w:t>
      </w:r>
      <w:r w:rsidR="004E6C78">
        <w:rPr>
          <w:rFonts w:ascii="Arial" w:eastAsia="Times New Roman" w:hAnsi="Arial" w:cs="Arial"/>
          <w:sz w:val="24"/>
          <w:szCs w:val="24"/>
          <w:lang w:eastAsia="pl-PL"/>
        </w:rPr>
        <w:t xml:space="preserve">2 </w:t>
      </w:r>
      <w:r>
        <w:rPr>
          <w:rFonts w:ascii="Arial" w:eastAsia="Times New Roman" w:hAnsi="Arial" w:cs="Arial"/>
          <w:sz w:val="24"/>
          <w:szCs w:val="24"/>
          <w:lang w:eastAsia="pl-PL"/>
        </w:rPr>
        <w:t>SRP</w:t>
      </w:r>
    </w:p>
    <w:p w14:paraId="21F4D6C9" w14:textId="77777777" w:rsidR="0006502E" w:rsidRPr="0006502E" w:rsidRDefault="0006502E" w:rsidP="004E6C78">
      <w:pPr>
        <w:suppressAutoHyphens/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06502E">
        <w:rPr>
          <w:rFonts w:ascii="Arial" w:eastAsia="Times New Roman" w:hAnsi="Arial" w:cs="Arial"/>
          <w:b/>
          <w:sz w:val="24"/>
          <w:szCs w:val="24"/>
          <w:lang w:eastAsia="pl-PL"/>
        </w:rPr>
        <w:t>OBSZAR TEMATYCZNY 4. DOSTĘPNOŚĆ USŁUG</w:t>
      </w:r>
    </w:p>
    <w:p w14:paraId="48E09A76" w14:textId="77777777" w:rsidR="0006502E" w:rsidRPr="0006502E" w:rsidRDefault="0006502E" w:rsidP="0006502E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6502E">
        <w:rPr>
          <w:rFonts w:ascii="Arial" w:eastAsia="Times New Roman" w:hAnsi="Arial" w:cs="Arial"/>
          <w:sz w:val="24"/>
          <w:szCs w:val="24"/>
          <w:lang w:eastAsia="pl-PL"/>
        </w:rPr>
        <w:t>Priorytet 4.1. Poprawa dostępności do usług publicznych poprzez wykorzystanie technologii informacyjno-komunikacyjnych</w:t>
      </w:r>
    </w:p>
    <w:p w14:paraId="6B92789B" w14:textId="77777777" w:rsidR="00052D00" w:rsidRPr="0006502E" w:rsidRDefault="00052D00" w:rsidP="00052D00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6502E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kierunki działań wskazane w celu operacyjnym nr </w:t>
      </w:r>
      <w:r w:rsidR="004E6C78">
        <w:rPr>
          <w:rFonts w:ascii="Arial" w:eastAsia="Times New Roman" w:hAnsi="Arial" w:cs="Arial"/>
          <w:sz w:val="24"/>
          <w:szCs w:val="24"/>
          <w:lang w:eastAsia="pl-PL"/>
        </w:rPr>
        <w:t>3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SRP</w:t>
      </w:r>
    </w:p>
    <w:p w14:paraId="6D29C70B" w14:textId="77777777" w:rsidR="0006502E" w:rsidRPr="0006502E" w:rsidRDefault="0006502E" w:rsidP="0006502E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6502E">
        <w:rPr>
          <w:rFonts w:ascii="Arial" w:eastAsia="Times New Roman" w:hAnsi="Arial" w:cs="Arial"/>
          <w:sz w:val="24"/>
          <w:szCs w:val="24"/>
          <w:lang w:eastAsia="pl-PL"/>
        </w:rPr>
        <w:t>Priorytet 4.2. Planowanie przestrzenne wspierające aktywizację społeczności i aktywizacja obszarów zdegradowanych</w:t>
      </w:r>
    </w:p>
    <w:p w14:paraId="76C5F132" w14:textId="77777777" w:rsidR="00052D00" w:rsidRPr="0006502E" w:rsidRDefault="00052D00" w:rsidP="00052D00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6502E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kierunki działań wskazane w celu operacyjnym nr </w:t>
      </w:r>
      <w:r w:rsidR="004E6C78">
        <w:rPr>
          <w:rFonts w:ascii="Arial" w:eastAsia="Times New Roman" w:hAnsi="Arial" w:cs="Arial"/>
          <w:sz w:val="24"/>
          <w:szCs w:val="24"/>
          <w:lang w:eastAsia="pl-PL"/>
        </w:rPr>
        <w:t>3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SRP</w:t>
      </w:r>
    </w:p>
    <w:p w14:paraId="22C30347" w14:textId="77777777" w:rsidR="001A5EC8" w:rsidRPr="001A5EC8" w:rsidRDefault="001A5EC8" w:rsidP="007A2254">
      <w:pPr>
        <w:spacing w:before="240" w:after="0" w:line="276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1A5EC8">
        <w:rPr>
          <w:rFonts w:ascii="Arial" w:hAnsi="Arial" w:cs="Arial"/>
          <w:b/>
          <w:color w:val="000000" w:themeColor="text1"/>
          <w:sz w:val="24"/>
          <w:szCs w:val="24"/>
        </w:rPr>
        <w:t>OBSZAR HORYZONTALNY – TERYTORIALNY WYMIAR STRATEGII</w:t>
      </w:r>
    </w:p>
    <w:p w14:paraId="2E6174DD" w14:textId="77777777" w:rsidR="001A5EC8" w:rsidRPr="001A5EC8" w:rsidRDefault="001A5EC8" w:rsidP="001A5EC8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A5EC8">
        <w:rPr>
          <w:rFonts w:ascii="Arial" w:hAnsi="Arial" w:cs="Arial"/>
          <w:color w:val="000000" w:themeColor="text1"/>
          <w:sz w:val="24"/>
          <w:szCs w:val="24"/>
        </w:rPr>
        <w:t>Priorytet 7.3. Obszary wymagające szczególnego wsparcia w kontekście równoważenia rozwoju</w:t>
      </w:r>
    </w:p>
    <w:p w14:paraId="6BCD135B" w14:textId="77777777" w:rsidR="001A5EC8" w:rsidRPr="001A5EC8" w:rsidRDefault="001A5EC8" w:rsidP="001A5EC8">
      <w:pPr>
        <w:spacing w:after="24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A5EC8">
        <w:rPr>
          <w:rFonts w:ascii="Arial" w:hAnsi="Arial" w:cs="Arial"/>
          <w:color w:val="000000" w:themeColor="text1"/>
          <w:sz w:val="24"/>
          <w:szCs w:val="24"/>
        </w:rPr>
        <w:t>Priorytet 7.4. Obszary wiejskie – wysoka jakość przestrzeni do zamieszkania, pracy i wypoczynku</w:t>
      </w:r>
    </w:p>
    <w:p w14:paraId="356C786E" w14:textId="77777777" w:rsidR="007A2254" w:rsidRPr="007A2254" w:rsidRDefault="001A5EC8" w:rsidP="007A2254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Przedłożony do zaopiniowania p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rojekt </w:t>
      </w:r>
      <w:r>
        <w:rPr>
          <w:rFonts w:ascii="Arial" w:eastAsia="Times New Roman" w:hAnsi="Arial" w:cs="Arial"/>
          <w:sz w:val="24"/>
          <w:szCs w:val="24"/>
          <w:lang w:eastAsia="ar-SA"/>
        </w:rPr>
        <w:t>SRP</w:t>
      </w:r>
      <w:r w:rsidRPr="000D2B7A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został zweryfikowany pod kątem przedstawienia elementów o których mowa w art. 10e ust. 3 i 4 </w:t>
      </w:r>
      <w:proofErr w:type="spellStart"/>
      <w:r w:rsidRPr="006412F3">
        <w:rPr>
          <w:rFonts w:ascii="Arial" w:eastAsia="Times New Roman" w:hAnsi="Arial" w:cs="Arial"/>
          <w:sz w:val="24"/>
          <w:szCs w:val="24"/>
          <w:lang w:eastAsia="ar-SA"/>
        </w:rPr>
        <w:t>u.s.g</w:t>
      </w:r>
      <w:proofErr w:type="spellEnd"/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. Zgodnie 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lastRenderedPageBreak/>
        <w:t>z</w:t>
      </w:r>
      <w:r w:rsidR="00715106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>przywołaną regulacją, strategia rozwoju gminy powinna zawierać, m.in.: wnioski z</w:t>
      </w:r>
      <w:r w:rsidR="00715106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>diagnozy, cele strategiczne rozwoju w wymiarze społecznym, gospodarczym i</w:t>
      </w:r>
      <w:r w:rsidR="00715106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>przestrzennym, kierunki działań podejmowanych dla osiągnięcia celów strategicznych, oczekiwane rezultaty planowanych działań, w tym w wymiarze przestrzennym, oraz wskaźniki ich osiągnięcia, model struktury funkcjonalno-przestrzennej, ustalenia i rekomendacje w zakresie kształtowania i prowadzenia polityki przestrzennej w gminie, obszary strategicznej interwencji wynikające ze strategii rozwoju województwa wraz z zakresem planowanych działań, obszary strategicznej interwencji kluczowe dla gminy, jeżeli takie zidentyfikowano, wraz z</w:t>
      </w:r>
      <w:r w:rsidR="00715106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>zakresem planowanych działań, system realizacji strategii, w tym wytyczne do sporządzania dokumentów wykonawczych oraz ramy f</w:t>
      </w:r>
      <w:r w:rsidR="007A2254">
        <w:rPr>
          <w:rFonts w:ascii="Arial" w:eastAsia="Times New Roman" w:hAnsi="Arial" w:cs="Arial"/>
          <w:sz w:val="24"/>
          <w:szCs w:val="24"/>
          <w:lang w:eastAsia="ar-SA"/>
        </w:rPr>
        <w:t xml:space="preserve">inansowe i źródła finansowania. </w:t>
      </w:r>
      <w:r w:rsidR="007A2254" w:rsidRPr="00CD79A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Przedłożony dokument zawiera wskazane elementy.</w:t>
      </w:r>
    </w:p>
    <w:p w14:paraId="1D54DCDE" w14:textId="77777777" w:rsidR="007A2254" w:rsidRPr="0080430B" w:rsidRDefault="007A2254" w:rsidP="007A2254">
      <w:pPr>
        <w:spacing w:before="240"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06502E">
        <w:rPr>
          <w:rFonts w:ascii="Arial" w:eastAsia="Times New Roman" w:hAnsi="Arial" w:cs="Arial"/>
          <w:sz w:val="24"/>
          <w:szCs w:val="24"/>
          <w:lang w:eastAsia="ar-SA"/>
        </w:rPr>
        <w:t>Dodatkowo, SRP określa model struktury funkcjonalno-przestrzennej gminy w tym: strukturę sieci osadniczej wraz z rolą i hierarchią jednostek osadniczych, system powiązań przyrodniczych, główne korytarze i elementy sieci transportowych, w tym pieszych i rowerowych, główne elementy infrastruktury technicznej i społecznej oraz ustalenia i rekomendacje w zakresie kształtowania i prowadzenia polityki przestrzennej w gminie dotyczące: zasad ochrony środowiska i jego zasobów, w tym ochrony powietrza, przyrody i krajobrazu, zasad ochrony dziedzictwa kulturowego i zabytków oraz dóbr kultury współczesnej, kierunków zmian w strukturze zagospodarowania terenów, w tym określenia szczególnych potrzeb w zakresie nowej zabudowy mieszkaniowej, zasad lokalizacji obiektów handlu wielkopowierzchniowego w rozumieniu ustawy z dnia 27 marca 2003 r. o planowaniu i zagospodarowaniu przestrzennym (</w:t>
      </w:r>
      <w:proofErr w:type="spellStart"/>
      <w:r w:rsidRPr="0006502E"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 w:rsidRPr="0006502E">
        <w:rPr>
          <w:rFonts w:ascii="Arial" w:eastAsia="Times New Roman" w:hAnsi="Arial" w:cs="Arial"/>
          <w:sz w:val="24"/>
          <w:szCs w:val="24"/>
          <w:lang w:eastAsia="ar-SA"/>
        </w:rPr>
        <w:t xml:space="preserve">. Dz. U. z 2023 r. poz. 977 ze zm.), zasad lokalizacji kluczowych inwestycji celu publicznego, kierunków rozwoju systemów komunikacji, infrastruktury technicznej i społecznej, zasad lokalizacji urządzeń wytwarzających energię o mocy zainstalowanej przekraczającej 500 kW, zasad lokalizacji przedsięwzięć mogących znacząco oddziaływać na środowisko, zasad kształtowania rolniczej i leśnej przestrzeni produkcyjnej, zasad kształtowania zagospodarowania przestrzennego na obszarach zdegradowanych i obszarach rewitalizacji oraz obszarach wymagających przekształceń, rehabilitacji, rekultywacji lub </w:t>
      </w:r>
      <w:proofErr w:type="spellStart"/>
      <w:r w:rsidRPr="0006502E">
        <w:rPr>
          <w:rFonts w:ascii="Arial" w:eastAsia="Times New Roman" w:hAnsi="Arial" w:cs="Arial"/>
          <w:sz w:val="24"/>
          <w:szCs w:val="24"/>
          <w:lang w:eastAsia="ar-SA"/>
        </w:rPr>
        <w:t>remediacji</w:t>
      </w:r>
      <w:proofErr w:type="spellEnd"/>
      <w:r w:rsidRPr="0006502E">
        <w:rPr>
          <w:rFonts w:ascii="Arial" w:eastAsia="Times New Roman" w:hAnsi="Arial" w:cs="Arial"/>
          <w:sz w:val="24"/>
          <w:szCs w:val="24"/>
          <w:lang w:eastAsia="ar-SA"/>
        </w:rPr>
        <w:t>.</w:t>
      </w:r>
      <w:r w:rsidRPr="004351C9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</w:p>
    <w:p w14:paraId="5BAA005F" w14:textId="77777777" w:rsidR="00E82E51" w:rsidRPr="000C4254" w:rsidRDefault="0006502E" w:rsidP="00E82E51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06502E">
        <w:rPr>
          <w:rFonts w:ascii="Arial" w:eastAsia="Times New Roman" w:hAnsi="Arial" w:cs="Arial"/>
          <w:sz w:val="24"/>
          <w:szCs w:val="24"/>
          <w:lang w:eastAsia="ar-SA"/>
        </w:rPr>
        <w:t xml:space="preserve">Przeprowadzona analiza przedłożonego dokumentu pod kątem sposobu uwzględnienia ustaleń i rekomendacji w zakresie kształtowania i prowadzenia polityki przestrzennej potwierdziła zgodność z zapisami </w:t>
      </w:r>
      <w:r w:rsidRPr="0006502E">
        <w:rPr>
          <w:rFonts w:ascii="Arial" w:eastAsia="Times New Roman" w:hAnsi="Arial" w:cs="Arial"/>
          <w:i/>
          <w:sz w:val="24"/>
          <w:szCs w:val="24"/>
          <w:lang w:eastAsia="ar-SA"/>
        </w:rPr>
        <w:t>Strategii rozwoju województwa – Podkarpackie 2030</w:t>
      </w:r>
      <w:r w:rsidRPr="0006502E">
        <w:rPr>
          <w:rFonts w:ascii="Arial" w:eastAsia="Times New Roman" w:hAnsi="Arial" w:cs="Arial"/>
          <w:sz w:val="24"/>
          <w:szCs w:val="24"/>
          <w:lang w:eastAsia="ar-SA"/>
        </w:rPr>
        <w:t>.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06502E">
        <w:rPr>
          <w:rFonts w:ascii="Arial" w:eastAsia="Times New Roman" w:hAnsi="Arial" w:cs="Arial"/>
          <w:sz w:val="24"/>
          <w:szCs w:val="24"/>
          <w:lang w:eastAsia="ar-SA"/>
        </w:rPr>
        <w:t>Jednak w celu kompleksowości dokum</w:t>
      </w:r>
      <w:r w:rsidR="00E82E51">
        <w:rPr>
          <w:rFonts w:ascii="Arial" w:eastAsia="Times New Roman" w:hAnsi="Arial" w:cs="Arial"/>
          <w:sz w:val="24"/>
          <w:szCs w:val="24"/>
          <w:lang w:eastAsia="ar-SA"/>
        </w:rPr>
        <w:t>entu rekomenduje się przedstawienie ustaleń</w:t>
      </w:r>
      <w:r w:rsidR="00E82E51" w:rsidRPr="000C4254">
        <w:rPr>
          <w:rFonts w:ascii="Arial" w:eastAsia="Times New Roman" w:hAnsi="Arial" w:cs="Arial"/>
          <w:sz w:val="24"/>
          <w:szCs w:val="24"/>
          <w:lang w:eastAsia="ar-SA"/>
        </w:rPr>
        <w:t xml:space="preserve"> i rekomendacj</w:t>
      </w:r>
      <w:r w:rsidR="00E82E51">
        <w:rPr>
          <w:rFonts w:ascii="Arial" w:eastAsia="Times New Roman" w:hAnsi="Arial" w:cs="Arial"/>
          <w:sz w:val="24"/>
          <w:szCs w:val="24"/>
          <w:lang w:eastAsia="ar-SA"/>
        </w:rPr>
        <w:t>i</w:t>
      </w:r>
      <w:r w:rsidR="00E82E51" w:rsidRPr="000C4254">
        <w:rPr>
          <w:rFonts w:ascii="Arial" w:eastAsia="Times New Roman" w:hAnsi="Arial" w:cs="Arial"/>
          <w:sz w:val="24"/>
          <w:szCs w:val="24"/>
          <w:lang w:eastAsia="ar-SA"/>
        </w:rPr>
        <w:t xml:space="preserve"> w zakresie kształtowania i prowadzenia</w:t>
      </w:r>
      <w:r w:rsidR="00E82E51">
        <w:rPr>
          <w:rFonts w:ascii="Arial" w:eastAsia="Times New Roman" w:hAnsi="Arial" w:cs="Arial"/>
          <w:sz w:val="24"/>
          <w:szCs w:val="24"/>
          <w:lang w:eastAsia="ar-SA"/>
        </w:rPr>
        <w:t xml:space="preserve"> polityki przestrzennej w gminie, w pełnym obszarze</w:t>
      </w:r>
      <w:r w:rsidR="00E82E51" w:rsidRPr="000C4254">
        <w:rPr>
          <w:rFonts w:ascii="Arial" w:eastAsia="Times New Roman" w:hAnsi="Arial" w:cs="Arial"/>
          <w:sz w:val="24"/>
          <w:szCs w:val="24"/>
          <w:lang w:eastAsia="ar-SA"/>
        </w:rPr>
        <w:t xml:space="preserve"> jaki wskazany jest w art. 10e ust. </w:t>
      </w:r>
      <w:r w:rsidR="00E82E51">
        <w:rPr>
          <w:rFonts w:ascii="Arial" w:eastAsia="Times New Roman" w:hAnsi="Arial" w:cs="Arial"/>
          <w:sz w:val="24"/>
          <w:szCs w:val="24"/>
          <w:lang w:eastAsia="ar-SA"/>
        </w:rPr>
        <w:br/>
      </w:r>
      <w:r w:rsidR="00E82E51" w:rsidRPr="000C4254">
        <w:rPr>
          <w:rFonts w:ascii="Arial" w:eastAsia="Times New Roman" w:hAnsi="Arial" w:cs="Arial"/>
          <w:sz w:val="24"/>
          <w:szCs w:val="24"/>
          <w:lang w:eastAsia="ar-SA"/>
        </w:rPr>
        <w:t xml:space="preserve">3 pkt 5 ustawy o samorządzie gminnym.  </w:t>
      </w:r>
    </w:p>
    <w:p w14:paraId="23DD208B" w14:textId="77777777" w:rsidR="00E82E51" w:rsidRPr="0006502E" w:rsidRDefault="00E82E51" w:rsidP="0006502E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75363AC7" w14:textId="77777777" w:rsidR="001A5EC8" w:rsidRPr="0006502E" w:rsidRDefault="001A5EC8" w:rsidP="001A5EC8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Mając na uwadze powyższe, na podstawie art. 41 ust. 1 ustawy z dnia 5 czerwca </w:t>
      </w:r>
      <w:r w:rsidR="00374D5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1998 r. o samorządzie województwa (</w:t>
      </w:r>
      <w:proofErr w:type="spellStart"/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t.j</w:t>
      </w:r>
      <w:proofErr w:type="spellEnd"/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Dz. U. z 2022 r. poz. 2094 ze zm.) w związku z art. 10g ust. 5 i 6 </w:t>
      </w:r>
      <w:proofErr w:type="spellStart"/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u.s.g</w:t>
      </w:r>
      <w:proofErr w:type="spellEnd"/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Zarząd Województwa Podkarpackiego postanawia </w:t>
      </w:r>
      <w:r w:rsidR="00C548E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lastRenderedPageBreak/>
        <w:t>pozytywnie</w:t>
      </w:r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zaopiniować </w:t>
      </w:r>
      <w:r w:rsidR="00C548E7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</w:rPr>
        <w:t>Projekt</w:t>
      </w:r>
      <w:r w:rsidR="00C548E7" w:rsidRPr="006D0F47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</w:rPr>
        <w:t xml:space="preserve"> Strategii Rozwoju Ponadlokalnego „Porozumienie Gmin Pogórza Przemyskiego” na lata 2024-2030</w:t>
      </w:r>
      <w:r w:rsidR="00C548E7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</w:rPr>
        <w:t xml:space="preserve"> </w:t>
      </w:r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 zakresie uwzględnienia w nim ustaleń i rekomendacji dotyczących kształtowania i prowadzenia polityki przestrzennej w województwie określonych w Strategii rozwoju województwa – Podkarpackie 2030.</w:t>
      </w:r>
    </w:p>
    <w:p w14:paraId="3C79CCAB" w14:textId="77777777" w:rsidR="001A5EC8" w:rsidRPr="001A5EC8" w:rsidRDefault="001A5EC8" w:rsidP="001A5EC8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</w:p>
    <w:p w14:paraId="284FF084" w14:textId="77777777" w:rsidR="00507FE8" w:rsidRDefault="00507FE8" w:rsidP="00A06A08">
      <w:pPr>
        <w:spacing w:after="120" w:line="276" w:lineRule="auto"/>
        <w:jc w:val="center"/>
      </w:pPr>
    </w:p>
    <w:sectPr w:rsidR="00507FE8" w:rsidSect="00113C0F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3B0620" w14:textId="77777777" w:rsidR="007B4D1E" w:rsidRDefault="004E6C78">
      <w:pPr>
        <w:spacing w:after="0" w:line="240" w:lineRule="auto"/>
      </w:pPr>
      <w:r>
        <w:separator/>
      </w:r>
    </w:p>
  </w:endnote>
  <w:endnote w:type="continuationSeparator" w:id="0">
    <w:p w14:paraId="2C3DC65A" w14:textId="77777777" w:rsidR="007B4D1E" w:rsidRDefault="004E6C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A56F4" w14:textId="77777777" w:rsidR="00694EA2" w:rsidRDefault="00694EA2">
    <w:pPr>
      <w:pStyle w:val="Stopka"/>
      <w:jc w:val="right"/>
    </w:pPr>
  </w:p>
  <w:p w14:paraId="5836BA89" w14:textId="77777777" w:rsidR="00694EA2" w:rsidRDefault="00694EA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72C8E3" w14:textId="77777777" w:rsidR="007B4D1E" w:rsidRDefault="004E6C78">
      <w:pPr>
        <w:spacing w:after="0" w:line="240" w:lineRule="auto"/>
      </w:pPr>
      <w:r>
        <w:separator/>
      </w:r>
    </w:p>
  </w:footnote>
  <w:footnote w:type="continuationSeparator" w:id="0">
    <w:p w14:paraId="145F9AA2" w14:textId="77777777" w:rsidR="007B4D1E" w:rsidRDefault="004E6C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5EC8"/>
    <w:rsid w:val="00052D00"/>
    <w:rsid w:val="0006502E"/>
    <w:rsid w:val="001A5EC8"/>
    <w:rsid w:val="00275D91"/>
    <w:rsid w:val="00374D56"/>
    <w:rsid w:val="004A573C"/>
    <w:rsid w:val="004E6C78"/>
    <w:rsid w:val="00507FE8"/>
    <w:rsid w:val="00692BC8"/>
    <w:rsid w:val="00694EA2"/>
    <w:rsid w:val="006D0F47"/>
    <w:rsid w:val="00715106"/>
    <w:rsid w:val="007A2254"/>
    <w:rsid w:val="007B4D1E"/>
    <w:rsid w:val="00A06A08"/>
    <w:rsid w:val="00AA4B55"/>
    <w:rsid w:val="00C548E7"/>
    <w:rsid w:val="00E82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8180B"/>
  <w15:chartTrackingRefBased/>
  <w15:docId w15:val="{81C9A9D3-FBA5-4FC0-9874-F16C09E13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1A5EC8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1A5EC8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151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51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59DEE4-975C-431A-B136-2D8AF5018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5</Pages>
  <Words>1331</Words>
  <Characters>7988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549_11621_23</dc:title>
  <dc:subject/>
  <dc:creator>Surmacz Paulina</dc:creator>
  <cp:keywords/>
  <dc:description/>
  <cp:lastModifiedBy>.</cp:lastModifiedBy>
  <cp:revision>7</cp:revision>
  <cp:lastPrinted>2023-12-13T11:31:00Z</cp:lastPrinted>
  <dcterms:created xsi:type="dcterms:W3CDTF">2023-11-02T11:44:00Z</dcterms:created>
  <dcterms:modified xsi:type="dcterms:W3CDTF">2023-12-18T08:56:00Z</dcterms:modified>
</cp:coreProperties>
</file>